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Solicito a criação de acesso interno da Escola Padre Elídio Mantovani ao Centro Olímpico.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 </w:t>
      </w:r>
      <w:r w:rsidDel="00000000" w:rsidR="00000000" w:rsidRPr="00000000">
        <w:rPr>
          <w:sz w:val="26"/>
          <w:szCs w:val="26"/>
          <w:rtl w:val="0"/>
        </w:rPr>
        <w:t xml:space="preserve">para que, em contato com o setor competente, seja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construído um acesso interno entre a Escola Padre Elídio Mantovani e o Centro Olímpico</w:t>
      </w:r>
      <w:r w:rsidDel="00000000" w:rsidR="00000000" w:rsidRPr="00000000">
        <w:rPr>
          <w:sz w:val="26"/>
          <w:szCs w:val="26"/>
          <w:rtl w:val="0"/>
        </w:rPr>
        <w:t xml:space="preserve">, considerando que estão localizados lado a lado, porém não possuem passagem direta pela escola. </w:t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9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Vereadora foi procurada por pais de aluno que informaram que para a realização das aulas de Educação Física no Centro Olímpico, os alunos precisam sair da escola, o que acaba expondo as crianças a riscos, comprometendo a segurança dos alunos.</w:t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construção de um acesso por dentro da escola irá garantir maior segurança aos alunos, professores e funcionários.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03 DE MARÇO DE 2026.</w:t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