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Solicitação de instalação de tubos na Rua Gracindo Nunes – Bairro Tavares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 </w:t>
      </w:r>
      <w:r w:rsidDel="00000000" w:rsidR="00000000" w:rsidRPr="00000000">
        <w:rPr>
          <w:sz w:val="26"/>
          <w:szCs w:val="26"/>
          <w:rtl w:val="0"/>
        </w:rPr>
        <w:t xml:space="preserve">para que, em contato com o setor competente, realize a disponibilização e instalação de tubos na Rua Gracindo Nunes, localizada no Bairro Tavares, neste município.</w:t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9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Recebi diversas reclamações de moradores da referida via e informaram que em períodos de chuvas a rua vem sofrendo alagamentos, causando transtornos e prejuízos à população.</w:t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 problema tem afetado os moradores e motoristas, dificultando o tráfego de veículos e pedestres, comprometendo o acesso às residências e gerando riscos à segurança e à saúde pública.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Dessa forma, a instalação de tubos para o adequado escoamento das águas é medida urgente e essencial para melhorar a mobilidade urbana e garantir mais segurança e qualidade de vida aos moradores do Bairro Tavares.</w:t>
      </w:r>
    </w:p>
    <w:p w:rsidR="00000000" w:rsidDel="00000000" w:rsidP="00000000" w:rsidRDefault="00000000" w:rsidRPr="00000000" w14:paraId="0000000C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03 DE MARÇO DE 2026.</w:t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