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 e a SECRETARIA MUNICIPAL DE EDUCAÇÃO, para que sejam tomadas as providências para proceder a pintura da fachada da E.M. Marcia Belmiro do Lago, no bairro Sará-Sará, com o nome da patrona da unidade escolar.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Justifica-se</w:t>
      </w:r>
      <w:r w:rsidDel="00000000" w:rsidR="00000000" w:rsidRPr="00000000">
        <w:rPr>
          <w:rtl w:val="0"/>
        </w:rPr>
        <w:t xml:space="preserve"> a presente solicitação tendo em vista que este Vereador foi procurado por munícipes e familiares que questionam que há mais de 4 meses o nome da patrona da Unidade Escolar foi apagado durante as reformas. Tal fato tem causado incômodo aos locais gerando sensação de desrespeito com a memória da homenageada e seus familiares.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24 DIAS DO MÊS DE FEVEREIRO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sectPr>
      <w:headerReference r:id="rId7" w:type="default"/>
      <w:footerReference r:id="rId8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 PDT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0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xaQ+gFxXZcbB6uaxiSyrJ/CvQ==">CgMxLjA4AHIhMXZCZVo4bzB6cjFzeUxFbXM5Q201LTRybGswRTRPTDVj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